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F3D" w:rsidRDefault="00494B69">
      <w:pPr>
        <w:rPr>
          <w:rFonts w:ascii="Arial" w:eastAsia="Times New Roman" w:hAnsi="Arial" w:cs="Arial"/>
          <w:sz w:val="18"/>
          <w:szCs w:val="18"/>
        </w:rPr>
      </w:pPr>
      <w:r>
        <w:rPr>
          <w:rFonts w:ascii="Arial" w:eastAsia="Times New Roman" w:hAnsi="Arial" w:cs="Arial"/>
          <w:noProof/>
          <w:sz w:val="18"/>
          <w:szCs w:val="18"/>
        </w:rPr>
        <w:drawing>
          <wp:inline distT="0" distB="0" distL="0" distR="0">
            <wp:extent cx="533400" cy="952500"/>
            <wp:effectExtent l="0" t="0" r="0" b="0"/>
            <wp:docPr id="1" name="Picture 1" descr="https://www.nationaljewish.org/NJH/media/ADX/imgs/1_NJH_ADx_Logo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ionaljewish.org/NJH/media/ADX/imgs/1_NJH_ADx_Logo_.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 cy="952500"/>
                    </a:xfrm>
                    <a:prstGeom prst="rect">
                      <a:avLst/>
                    </a:prstGeom>
                    <a:noFill/>
                    <a:ln>
                      <a:noFill/>
                    </a:ln>
                  </pic:spPr>
                </pic:pic>
              </a:graphicData>
            </a:graphic>
          </wp:inline>
        </w:drawing>
      </w:r>
      <w:r w:rsidRPr="00494B69">
        <w:rPr>
          <w:rFonts w:ascii="Arial" w:eastAsia="Times New Roman" w:hAnsi="Arial" w:cs="Arial"/>
          <w:sz w:val="18"/>
          <w:szCs w:val="18"/>
        </w:rPr>
        <w:t xml:space="preserve"> </w:t>
      </w:r>
      <w:r>
        <w:rPr>
          <w:rFonts w:ascii="Arial" w:eastAsia="Times New Roman" w:hAnsi="Arial" w:cs="Arial"/>
          <w:noProof/>
          <w:sz w:val="18"/>
          <w:szCs w:val="18"/>
        </w:rPr>
        <w:drawing>
          <wp:inline distT="0" distB="0" distL="0" distR="0">
            <wp:extent cx="1438275" cy="952500"/>
            <wp:effectExtent l="0" t="0" r="9525" b="0"/>
            <wp:docPr id="2" name="Picture 2" descr="https://www.nationaljewish.org/NJH/media/ADX/imgs/NJH_ADx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ationaljewish.org/NJH/media/ADX/imgs/NJH_ADx_Logo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p>
    <w:tbl>
      <w:tblPr>
        <w:tblW w:w="9600" w:type="dxa"/>
        <w:jc w:val="center"/>
        <w:tblCellSpacing w:w="7" w:type="dxa"/>
        <w:tblLook w:val="04A0" w:firstRow="1" w:lastRow="0" w:firstColumn="1" w:lastColumn="0" w:noHBand="0" w:noVBand="1"/>
      </w:tblPr>
      <w:tblGrid>
        <w:gridCol w:w="9600"/>
      </w:tblGrid>
      <w:tr w:rsidR="00494B69" w:rsidTr="00494B69">
        <w:trPr>
          <w:tblCellSpacing w:w="7" w:type="dxa"/>
          <w:jc w:val="center"/>
        </w:trPr>
        <w:tc>
          <w:tcPr>
            <w:tcW w:w="0" w:type="auto"/>
            <w:tcMar>
              <w:top w:w="15" w:type="dxa"/>
              <w:left w:w="15" w:type="dxa"/>
              <w:bottom w:w="15" w:type="dxa"/>
              <w:right w:w="15" w:type="dxa"/>
            </w:tcMar>
            <w:vAlign w:val="center"/>
            <w:hideMark/>
          </w:tcPr>
          <w:p w:rsidR="00494B69" w:rsidRDefault="00494B69">
            <w:pPr>
              <w:rPr>
                <w:rFonts w:ascii="Arial" w:eastAsia="Times New Roman" w:hAnsi="Arial" w:cs="Arial"/>
                <w:sz w:val="18"/>
                <w:szCs w:val="18"/>
              </w:rPr>
            </w:pPr>
            <w:r>
              <w:rPr>
                <w:rFonts w:ascii="Arial" w:eastAsia="Times New Roman" w:hAnsi="Arial" w:cs="Arial"/>
                <w:sz w:val="18"/>
                <w:szCs w:val="18"/>
              </w:rPr>
              <w:br/>
              <w:t>To:             All Clinical Staff</w:t>
            </w:r>
            <w:r>
              <w:rPr>
                <w:rFonts w:ascii="Arial" w:eastAsia="Times New Roman" w:hAnsi="Arial" w:cs="Arial"/>
                <w:sz w:val="18"/>
                <w:szCs w:val="18"/>
              </w:rPr>
              <w:br/>
              <w:t>From:         Ron Harbeck, PhD, D(ABMLI), FAAM</w:t>
            </w:r>
            <w:r>
              <w:rPr>
                <w:rFonts w:ascii="Arial" w:eastAsia="Times New Roman" w:hAnsi="Arial" w:cs="Arial"/>
                <w:sz w:val="18"/>
                <w:szCs w:val="18"/>
              </w:rPr>
              <w:br/>
              <w:t>                  Peter Bryant-Greenwood, MD, MBA, FCAP, FACHE</w:t>
            </w:r>
            <w:r>
              <w:rPr>
                <w:rFonts w:ascii="Arial" w:eastAsia="Times New Roman" w:hAnsi="Arial" w:cs="Arial"/>
                <w:sz w:val="18"/>
                <w:szCs w:val="18"/>
              </w:rPr>
              <w:br/>
              <w:t> </w:t>
            </w:r>
            <w:r>
              <w:rPr>
                <w:rFonts w:ascii="Arial" w:eastAsia="Times New Roman" w:hAnsi="Arial" w:cs="Arial"/>
                <w:sz w:val="18"/>
                <w:szCs w:val="18"/>
              </w:rPr>
              <w:br/>
              <w:t xml:space="preserve">Date:         October 15, 2019 </w:t>
            </w:r>
          </w:p>
          <w:p w:rsidR="00494B69" w:rsidRDefault="00494B69">
            <w:pPr>
              <w:rPr>
                <w:rFonts w:ascii="Arial" w:eastAsia="Times New Roman" w:hAnsi="Arial" w:cs="Arial"/>
                <w:sz w:val="18"/>
                <w:szCs w:val="18"/>
              </w:rPr>
            </w:pPr>
            <w:r>
              <w:rPr>
                <w:rFonts w:ascii="Arial" w:eastAsia="Times New Roman" w:hAnsi="Arial" w:cs="Arial"/>
                <w:sz w:val="18"/>
                <w:szCs w:val="18"/>
              </w:rPr>
              <w:t>RE:            Testing Delay Notice: D-Dimer</w:t>
            </w:r>
            <w:r>
              <w:rPr>
                <w:rFonts w:ascii="Arial" w:eastAsia="Times New Roman" w:hAnsi="Arial" w:cs="Arial"/>
                <w:sz w:val="18"/>
                <w:szCs w:val="18"/>
              </w:rPr>
              <w:br/>
              <w:t>                       </w:t>
            </w:r>
          </w:p>
          <w:p w:rsidR="00494B69" w:rsidRDefault="00494B69">
            <w:pPr>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br/>
              <w:t>Attention all Clinical Staff:</w:t>
            </w:r>
            <w:r>
              <w:rPr>
                <w:rFonts w:ascii="Arial" w:eastAsia="Times New Roman" w:hAnsi="Arial" w:cs="Arial"/>
                <w:sz w:val="18"/>
                <w:szCs w:val="18"/>
              </w:rPr>
              <w:br/>
              <w:t>Effective immediately, we are sending all D-DIMER tests to Saint Joseph Hospital. We expect to resume in-house testing no later than Thursday, October 17.  Due to send-out processes, D-Dimer test result reporting will be delayed. Please note the change in specimen type for D-Dimer testing at Saint Joseph Hospital:</w:t>
            </w:r>
            <w:r>
              <w:rPr>
                <w:rFonts w:ascii="Arial" w:eastAsia="Times New Roman" w:hAnsi="Arial" w:cs="Arial"/>
                <w:sz w:val="18"/>
                <w:szCs w:val="18"/>
              </w:rPr>
              <w:br/>
              <w:t> </w:t>
            </w:r>
            <w:r>
              <w:rPr>
                <w:rFonts w:ascii="Arial" w:eastAsia="Times New Roman" w:hAnsi="Arial" w:cs="Arial"/>
                <w:sz w:val="18"/>
                <w:szCs w:val="18"/>
              </w:rPr>
              <w:b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5055"/>
            </w:tblGrid>
            <w:tr w:rsidR="00494B69">
              <w:trPr>
                <w:trHeight w:val="435"/>
                <w:tblCellSpacing w:w="0" w:type="dxa"/>
              </w:trPr>
              <w:tc>
                <w:tcPr>
                  <w:tcW w:w="1965" w:type="dxa"/>
                  <w:tcBorders>
                    <w:top w:val="outset" w:sz="6" w:space="0" w:color="auto"/>
                    <w:left w:val="outset" w:sz="6" w:space="0" w:color="auto"/>
                    <w:bottom w:val="outset" w:sz="6" w:space="0" w:color="auto"/>
                    <w:right w:val="outset" w:sz="6" w:space="0" w:color="auto"/>
                  </w:tcBorders>
                  <w:vAlign w:val="center"/>
                  <w:hideMark/>
                </w:tcPr>
                <w:p w:rsidR="00494B69" w:rsidRDefault="00494B69">
                  <w:pPr>
                    <w:rPr>
                      <w:rFonts w:ascii="Arial" w:eastAsia="Times New Roman" w:hAnsi="Arial" w:cs="Arial"/>
                      <w:sz w:val="18"/>
                      <w:szCs w:val="18"/>
                    </w:rPr>
                  </w:pPr>
                  <w:r>
                    <w:rPr>
                      <w:rFonts w:ascii="Arial" w:eastAsia="Times New Roman" w:hAnsi="Arial" w:cs="Arial"/>
                      <w:sz w:val="18"/>
                      <w:szCs w:val="18"/>
                    </w:rPr>
                    <w:t>Test Name</w:t>
                  </w:r>
                </w:p>
              </w:tc>
              <w:tc>
                <w:tcPr>
                  <w:tcW w:w="5055" w:type="dxa"/>
                  <w:tcBorders>
                    <w:top w:val="outset" w:sz="6" w:space="0" w:color="auto"/>
                    <w:left w:val="outset" w:sz="6" w:space="0" w:color="auto"/>
                    <w:bottom w:val="outset" w:sz="6" w:space="0" w:color="auto"/>
                    <w:right w:val="outset" w:sz="6" w:space="0" w:color="auto"/>
                  </w:tcBorders>
                  <w:vAlign w:val="center"/>
                  <w:hideMark/>
                </w:tcPr>
                <w:p w:rsidR="00494B69" w:rsidRDefault="00494B69">
                  <w:pPr>
                    <w:rPr>
                      <w:rFonts w:ascii="Arial" w:eastAsia="Times New Roman" w:hAnsi="Arial" w:cs="Arial"/>
                      <w:sz w:val="18"/>
                      <w:szCs w:val="18"/>
                    </w:rPr>
                  </w:pPr>
                  <w:r>
                    <w:rPr>
                      <w:rFonts w:ascii="Arial" w:eastAsia="Times New Roman" w:hAnsi="Arial" w:cs="Arial"/>
                      <w:sz w:val="18"/>
                      <w:szCs w:val="18"/>
                    </w:rPr>
                    <w:t>Saint Joseph Hospital Collection/Draw Type</w:t>
                  </w:r>
                </w:p>
              </w:tc>
            </w:tr>
            <w:tr w:rsidR="00494B69">
              <w:trPr>
                <w:trHeight w:val="525"/>
                <w:tblCellSpacing w:w="0" w:type="dxa"/>
              </w:trPr>
              <w:tc>
                <w:tcPr>
                  <w:tcW w:w="1965" w:type="dxa"/>
                  <w:tcBorders>
                    <w:top w:val="outset" w:sz="6" w:space="0" w:color="auto"/>
                    <w:left w:val="outset" w:sz="6" w:space="0" w:color="auto"/>
                    <w:bottom w:val="outset" w:sz="6" w:space="0" w:color="auto"/>
                    <w:right w:val="outset" w:sz="6" w:space="0" w:color="auto"/>
                  </w:tcBorders>
                  <w:vAlign w:val="center"/>
                  <w:hideMark/>
                </w:tcPr>
                <w:p w:rsidR="00494B69" w:rsidRDefault="00494B69">
                  <w:pPr>
                    <w:rPr>
                      <w:rFonts w:ascii="Arial" w:eastAsia="Times New Roman" w:hAnsi="Arial" w:cs="Arial"/>
                      <w:sz w:val="18"/>
                      <w:szCs w:val="18"/>
                    </w:rPr>
                  </w:pPr>
                  <w:r>
                    <w:rPr>
                      <w:rFonts w:ascii="Arial" w:eastAsia="Times New Roman" w:hAnsi="Arial" w:cs="Arial"/>
                      <w:sz w:val="18"/>
                      <w:szCs w:val="18"/>
                    </w:rPr>
                    <w:t>D-Dimer</w:t>
                  </w:r>
                </w:p>
              </w:tc>
              <w:tc>
                <w:tcPr>
                  <w:tcW w:w="5055" w:type="dxa"/>
                  <w:tcBorders>
                    <w:top w:val="outset" w:sz="6" w:space="0" w:color="auto"/>
                    <w:left w:val="outset" w:sz="6" w:space="0" w:color="auto"/>
                    <w:bottom w:val="outset" w:sz="6" w:space="0" w:color="auto"/>
                    <w:right w:val="outset" w:sz="6" w:space="0" w:color="auto"/>
                  </w:tcBorders>
                  <w:vAlign w:val="center"/>
                  <w:hideMark/>
                </w:tcPr>
                <w:p w:rsidR="00494B69" w:rsidRDefault="00494B69">
                  <w:pPr>
                    <w:rPr>
                      <w:rFonts w:ascii="Arial" w:eastAsia="Times New Roman" w:hAnsi="Arial" w:cs="Arial"/>
                      <w:sz w:val="18"/>
                      <w:szCs w:val="18"/>
                    </w:rPr>
                  </w:pPr>
                  <w:r>
                    <w:rPr>
                      <w:rFonts w:ascii="Arial" w:eastAsia="Times New Roman" w:hAnsi="Arial" w:cs="Arial"/>
                      <w:sz w:val="18"/>
                      <w:szCs w:val="18"/>
                    </w:rPr>
                    <w:t>Sodium Citrate (light blue top)</w:t>
                  </w:r>
                </w:p>
              </w:tc>
            </w:tr>
          </w:tbl>
          <w:p w:rsidR="00494B69" w:rsidRDefault="00494B69">
            <w:pPr>
              <w:rPr>
                <w:rFonts w:ascii="Arial" w:eastAsia="Times New Roman" w:hAnsi="Arial" w:cs="Arial"/>
                <w:sz w:val="18"/>
                <w:szCs w:val="18"/>
              </w:rPr>
            </w:pPr>
            <w:r>
              <w:rPr>
                <w:rFonts w:ascii="Arial" w:eastAsia="Times New Roman" w:hAnsi="Arial" w:cs="Arial"/>
                <w:sz w:val="18"/>
                <w:szCs w:val="18"/>
              </w:rPr>
              <w:t> </w:t>
            </w:r>
            <w:r>
              <w:rPr>
                <w:rFonts w:ascii="Arial" w:eastAsia="Times New Roman" w:hAnsi="Arial" w:cs="Arial"/>
                <w:sz w:val="18"/>
                <w:szCs w:val="18"/>
              </w:rPr>
              <w:br/>
              <w:t>**NJH collection/draw type is EDTA (Lavender top).</w:t>
            </w:r>
            <w:r>
              <w:rPr>
                <w:rFonts w:ascii="Arial" w:eastAsia="Times New Roman" w:hAnsi="Arial" w:cs="Arial"/>
                <w:sz w:val="18"/>
                <w:szCs w:val="18"/>
              </w:rPr>
              <w:br/>
              <w:t> </w:t>
            </w:r>
            <w:r>
              <w:rPr>
                <w:rFonts w:ascii="Arial" w:eastAsia="Times New Roman" w:hAnsi="Arial" w:cs="Arial"/>
                <w:sz w:val="18"/>
                <w:szCs w:val="18"/>
              </w:rPr>
              <w:br/>
              <w:t> </w:t>
            </w:r>
            <w:r>
              <w:rPr>
                <w:rFonts w:ascii="Arial" w:eastAsia="Times New Roman" w:hAnsi="Arial" w:cs="Arial"/>
                <w:sz w:val="18"/>
                <w:szCs w:val="18"/>
              </w:rPr>
              <w:br/>
              <w:t> </w:t>
            </w:r>
            <w:r>
              <w:rPr>
                <w:rFonts w:ascii="Arial" w:eastAsia="Times New Roman" w:hAnsi="Arial" w:cs="Arial"/>
                <w:sz w:val="18"/>
                <w:szCs w:val="18"/>
              </w:rPr>
              <w:br/>
              <w:t>Thank you for your attention to these test updates. If you have any questions or concerns in regards to this notice please reach out to the Clinical Laboratory Client Services at extension 4120.</w:t>
            </w:r>
            <w:r>
              <w:rPr>
                <w:rFonts w:ascii="Arial" w:eastAsia="Times New Roman" w:hAnsi="Arial" w:cs="Arial"/>
                <w:sz w:val="18"/>
                <w:szCs w:val="18"/>
              </w:rPr>
              <w:br/>
            </w:r>
            <w:r>
              <w:rPr>
                <w:rFonts w:ascii="Arial" w:eastAsia="Times New Roman" w:hAnsi="Arial" w:cs="Arial"/>
                <w:sz w:val="18"/>
                <w:szCs w:val="18"/>
              </w:rPr>
              <w:br/>
              <w:t>Sincerely,</w:t>
            </w:r>
            <w:r>
              <w:rPr>
                <w:rFonts w:ascii="Arial" w:eastAsia="Times New Roman" w:hAnsi="Arial" w:cs="Arial"/>
                <w:sz w:val="18"/>
                <w:szCs w:val="18"/>
              </w:rPr>
              <w:br/>
            </w:r>
            <w:r>
              <w:rPr>
                <w:rFonts w:ascii="Arial" w:eastAsia="Times New Roman" w:hAnsi="Arial" w:cs="Arial"/>
                <w:sz w:val="18"/>
                <w:szCs w:val="18"/>
              </w:rPr>
              <w:br/>
            </w:r>
            <w:r>
              <w:rPr>
                <w:rFonts w:ascii="Arial" w:hAnsi="Arial" w:cs="Arial"/>
                <w:noProof/>
                <w:color w:val="000000"/>
                <w:sz w:val="18"/>
                <w:szCs w:val="18"/>
              </w:rPr>
              <w:drawing>
                <wp:inline distT="0" distB="0" distL="0" distR="0">
                  <wp:extent cx="3171825" cy="800100"/>
                  <wp:effectExtent l="0" t="0" r="9525" b="0"/>
                  <wp:docPr id="3" name="Picture 3" descr="https://www.nationaljewish.org/NJH/media/ADX/ADx%20Signatures/Peter-s-Signature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ationaljewish.org/NJH/media/ADX/ADx%20Signatures/Peter-s-Signature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800100"/>
                          </a:xfrm>
                          <a:prstGeom prst="rect">
                            <a:avLst/>
                          </a:prstGeom>
                          <a:noFill/>
                          <a:ln>
                            <a:noFill/>
                          </a:ln>
                        </pic:spPr>
                      </pic:pic>
                    </a:graphicData>
                  </a:graphic>
                </wp:inline>
              </w:drawing>
            </w:r>
            <w:r>
              <w:rPr>
                <w:rFonts w:ascii="Arial" w:hAnsi="Arial" w:cs="Arial"/>
                <w:color w:val="000000"/>
                <w:sz w:val="18"/>
                <w:szCs w:val="18"/>
              </w:rPr>
              <w:br/>
            </w:r>
            <w:r>
              <w:rPr>
                <w:rFonts w:ascii="Arial" w:hAnsi="Arial" w:cs="Arial"/>
                <w:color w:val="000000"/>
                <w:sz w:val="18"/>
                <w:szCs w:val="18"/>
              </w:rPr>
              <w:br/>
              <w:t>Peter Bryant-Greenwood, MD</w:t>
            </w:r>
            <w:r>
              <w:rPr>
                <w:rFonts w:ascii="Arial" w:hAnsi="Arial" w:cs="Arial"/>
                <w:color w:val="000000"/>
                <w:sz w:val="18"/>
                <w:szCs w:val="18"/>
              </w:rPr>
              <w:br/>
              <w:t>Medical Director, Advanced Diagnostics Labs</w:t>
            </w:r>
            <w:r>
              <w:rPr>
                <w:rFonts w:ascii="Arial" w:eastAsia="Times New Roman" w:hAnsi="Arial" w:cs="Arial"/>
                <w:sz w:val="18"/>
                <w:szCs w:val="18"/>
              </w:rPr>
              <w:br/>
              <w:t> </w:t>
            </w:r>
          </w:p>
        </w:tc>
      </w:tr>
    </w:tbl>
    <w:p w:rsidR="00494B69" w:rsidRDefault="00494B69">
      <w:bookmarkStart w:id="0" w:name="_GoBack"/>
      <w:bookmarkEnd w:id="0"/>
    </w:p>
    <w:sectPr w:rsidR="00494B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69"/>
    <w:rsid w:val="00494B69"/>
    <w:rsid w:val="009A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EF82"/>
  <w15:chartTrackingRefBased/>
  <w15:docId w15:val="{24A05A96-9148-460F-AC7A-99C83A15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7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National Jewish Health</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Michael</dc:creator>
  <cp:keywords/>
  <dc:description/>
  <cp:lastModifiedBy>Anderson, Michael</cp:lastModifiedBy>
  <cp:revision>1</cp:revision>
  <dcterms:created xsi:type="dcterms:W3CDTF">2020-01-10T22:53:00Z</dcterms:created>
  <dcterms:modified xsi:type="dcterms:W3CDTF">2020-01-10T22:54:00Z</dcterms:modified>
</cp:coreProperties>
</file>